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b/>
          <w:bCs/>
          <w:kern w:val="0"/>
        </w:rPr>
        <w:t>附件3</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w:t>
      </w:r>
    </w:p>
    <w:p w:rsidR="00D36878" w:rsidRPr="00D36878" w:rsidRDefault="00D36878" w:rsidP="00D36878">
      <w:pPr>
        <w:widowControl/>
        <w:shd w:val="clear" w:color="auto" w:fill="FFFFFF"/>
        <w:spacing w:line="450" w:lineRule="atLeast"/>
        <w:jc w:val="center"/>
        <w:rPr>
          <w:rFonts w:ascii="宋体" w:eastAsia="宋体" w:hAnsi="宋体" w:cs="宋体"/>
          <w:kern w:val="0"/>
          <w:szCs w:val="21"/>
        </w:rPr>
      </w:pPr>
      <w:r w:rsidRPr="00D36878">
        <w:rPr>
          <w:rFonts w:ascii="宋体" w:eastAsia="宋体" w:hAnsi="宋体" w:cs="宋体"/>
          <w:kern w:val="0"/>
          <w:szCs w:val="21"/>
        </w:rPr>
        <w:t xml:space="preserve">　　</w:t>
      </w:r>
      <w:r w:rsidRPr="00D36878">
        <w:rPr>
          <w:rFonts w:ascii="宋体" w:eastAsia="宋体" w:hAnsi="宋体" w:cs="宋体"/>
          <w:b/>
          <w:bCs/>
          <w:kern w:val="0"/>
        </w:rPr>
        <w:t>外省市总机构在沪二级分支机构企业所得税年度纳税申报表</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所属年度：             </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分支机构名称： </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分支机构纳税人识别码：                                                         金额单位：元（</w:t>
      </w:r>
      <w:proofErr w:type="gramStart"/>
      <w:r w:rsidRPr="00D36878">
        <w:rPr>
          <w:rFonts w:ascii="宋体" w:eastAsia="宋体" w:hAnsi="宋体" w:cs="宋体"/>
          <w:kern w:val="0"/>
          <w:szCs w:val="21"/>
        </w:rPr>
        <w:t>列至角分</w:t>
      </w:r>
      <w:proofErr w:type="gramEnd"/>
      <w:r w:rsidRPr="00D36878">
        <w:rPr>
          <w:rFonts w:ascii="宋体" w:eastAsia="宋体" w:hAnsi="宋体" w:cs="宋体"/>
          <w:kern w:val="0"/>
          <w:szCs w:val="21"/>
        </w:rPr>
        <w:t>） </w:t>
      </w:r>
    </w:p>
    <w:tbl>
      <w:tblPr>
        <w:tblW w:w="8840" w:type="dxa"/>
        <w:jc w:val="center"/>
        <w:tblInd w:w="96" w:type="dxa"/>
        <w:shd w:val="clear" w:color="auto" w:fill="FFFFFF"/>
        <w:tblLook w:val="04A0"/>
      </w:tblPr>
      <w:tblGrid>
        <w:gridCol w:w="1276"/>
        <w:gridCol w:w="3060"/>
        <w:gridCol w:w="2231"/>
        <w:gridCol w:w="720"/>
        <w:gridCol w:w="1553"/>
      </w:tblGrid>
      <w:tr w:rsidR="00D36878" w:rsidRPr="00D36878" w:rsidTr="00D36878">
        <w:trPr>
          <w:trHeight w:val="91"/>
          <w:jc w:val="center"/>
        </w:trPr>
        <w:tc>
          <w:tcPr>
            <w:tcW w:w="1276" w:type="dxa"/>
            <w:vMerge w:val="restart"/>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D36878" w:rsidRPr="00D36878" w:rsidRDefault="00D36878" w:rsidP="00D36878">
            <w:pPr>
              <w:widowControl/>
              <w:spacing w:line="91"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总机构相关信息</w:t>
            </w:r>
          </w:p>
        </w:tc>
        <w:tc>
          <w:tcPr>
            <w:tcW w:w="3060" w:type="dxa"/>
            <w:tcBorders>
              <w:top w:val="single" w:sz="12" w:space="0" w:color="auto"/>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91"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总机构名称</w:t>
            </w:r>
          </w:p>
        </w:tc>
        <w:tc>
          <w:tcPr>
            <w:tcW w:w="4504" w:type="dxa"/>
            <w:gridSpan w:val="3"/>
            <w:tcBorders>
              <w:top w:val="single" w:sz="12"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91"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60"/>
          <w:jc w:val="center"/>
        </w:trPr>
        <w:tc>
          <w:tcPr>
            <w:tcW w:w="0" w:type="auto"/>
            <w:vMerge/>
            <w:tcBorders>
              <w:top w:val="single" w:sz="12" w:space="0" w:color="auto"/>
              <w:left w:val="single" w:sz="12" w:space="0" w:color="auto"/>
              <w:bottom w:val="single" w:sz="12"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3060" w:type="dxa"/>
            <w:tcBorders>
              <w:top w:val="nil"/>
              <w:left w:val="nil"/>
              <w:bottom w:val="single" w:sz="12" w:space="0" w:color="auto"/>
              <w:right w:val="single" w:sz="4" w:space="0" w:color="auto"/>
            </w:tcBorders>
            <w:shd w:val="clear" w:color="auto" w:fill="FFFFFF"/>
            <w:noWrap/>
            <w:vAlign w:val="center"/>
            <w:hideMark/>
          </w:tcPr>
          <w:p w:rsidR="00D36878" w:rsidRPr="00D36878" w:rsidRDefault="00D36878" w:rsidP="00D36878">
            <w:pPr>
              <w:widowControl/>
              <w:spacing w:line="6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总机构纳税人识别码</w:t>
            </w:r>
          </w:p>
        </w:tc>
        <w:tc>
          <w:tcPr>
            <w:tcW w:w="4504" w:type="dxa"/>
            <w:gridSpan w:val="3"/>
            <w:tcBorders>
              <w:top w:val="single" w:sz="4" w:space="0" w:color="auto"/>
              <w:left w:val="nil"/>
              <w:bottom w:val="single" w:sz="12" w:space="0" w:color="auto"/>
              <w:right w:val="single" w:sz="12" w:space="0" w:color="auto"/>
            </w:tcBorders>
            <w:shd w:val="clear" w:color="auto" w:fill="FFFFFF"/>
            <w:noWrap/>
            <w:vAlign w:val="center"/>
            <w:hideMark/>
          </w:tcPr>
          <w:p w:rsidR="00D36878" w:rsidRPr="00D36878" w:rsidRDefault="00D36878" w:rsidP="00D36878">
            <w:pPr>
              <w:widowControl/>
              <w:spacing w:line="6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50"/>
          <w:jc w:val="center"/>
        </w:trPr>
        <w:tc>
          <w:tcPr>
            <w:tcW w:w="6567" w:type="dxa"/>
            <w:gridSpan w:val="3"/>
            <w:tcBorders>
              <w:top w:val="single" w:sz="12" w:space="0" w:color="auto"/>
              <w:left w:val="single" w:sz="12" w:space="0" w:color="auto"/>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5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项目</w:t>
            </w:r>
          </w:p>
        </w:tc>
        <w:tc>
          <w:tcPr>
            <w:tcW w:w="720" w:type="dxa"/>
            <w:tcBorders>
              <w:top w:val="single" w:sz="12" w:space="0" w:color="auto"/>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5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行次</w:t>
            </w:r>
          </w:p>
        </w:tc>
        <w:tc>
          <w:tcPr>
            <w:tcW w:w="1553" w:type="dxa"/>
            <w:tcBorders>
              <w:top w:val="single" w:sz="12"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5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金额</w:t>
            </w:r>
          </w:p>
        </w:tc>
      </w:tr>
      <w:tr w:rsidR="00D36878" w:rsidRPr="00D36878" w:rsidTr="00D36878">
        <w:trPr>
          <w:trHeight w:val="70"/>
          <w:jc w:val="center"/>
        </w:trPr>
        <w:tc>
          <w:tcPr>
            <w:tcW w:w="1276" w:type="dxa"/>
            <w:vMerge w:val="restart"/>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总机构企业所得税年度纳税申报相关信息</w:t>
            </w: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proofErr w:type="gramStart"/>
            <w:r w:rsidRPr="00D36878">
              <w:rPr>
                <w:rFonts w:ascii="宋体" w:eastAsia="宋体" w:hAnsi="宋体" w:cs="宋体" w:hint="eastAsia"/>
                <w:kern w:val="0"/>
                <w:sz w:val="20"/>
                <w:szCs w:val="20"/>
              </w:rPr>
              <w:t>实际应纳</w:t>
            </w:r>
            <w:proofErr w:type="gramEnd"/>
            <w:r w:rsidRPr="00D36878">
              <w:rPr>
                <w:rFonts w:ascii="宋体" w:eastAsia="宋体" w:hAnsi="宋体" w:cs="宋体" w:hint="eastAsia"/>
                <w:kern w:val="0"/>
                <w:sz w:val="20"/>
                <w:szCs w:val="20"/>
              </w:rPr>
              <w:t>所得税额</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1</w:t>
            </w:r>
          </w:p>
        </w:tc>
        <w:tc>
          <w:tcPr>
            <w:tcW w:w="1553" w:type="dxa"/>
            <w:tcBorders>
              <w:top w:val="nil"/>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用于分摊的本年</w:t>
            </w:r>
            <w:proofErr w:type="gramStart"/>
            <w:r w:rsidRPr="00D36878">
              <w:rPr>
                <w:rFonts w:ascii="宋体" w:eastAsia="宋体" w:hAnsi="宋体" w:cs="宋体" w:hint="eastAsia"/>
                <w:kern w:val="0"/>
                <w:sz w:val="20"/>
                <w:szCs w:val="20"/>
              </w:rPr>
              <w:t>实际应纳</w:t>
            </w:r>
            <w:proofErr w:type="gramEnd"/>
            <w:r w:rsidRPr="00D36878">
              <w:rPr>
                <w:rFonts w:ascii="宋体" w:eastAsia="宋体" w:hAnsi="宋体" w:cs="宋体" w:hint="eastAsia"/>
                <w:kern w:val="0"/>
                <w:sz w:val="20"/>
                <w:szCs w:val="20"/>
              </w:rPr>
              <w:t>所得税额</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2</w:t>
            </w:r>
          </w:p>
        </w:tc>
        <w:tc>
          <w:tcPr>
            <w:tcW w:w="1553" w:type="dxa"/>
            <w:tcBorders>
              <w:top w:val="nil"/>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132"/>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132"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本年累计已预分、已分摊所得税</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132"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3</w:t>
            </w:r>
          </w:p>
        </w:tc>
        <w:tc>
          <w:tcPr>
            <w:tcW w:w="1553" w:type="dxa"/>
            <w:tcBorders>
              <w:top w:val="nil"/>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132"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ind w:firstLineChars="100" w:firstLine="200"/>
              <w:jc w:val="left"/>
              <w:rPr>
                <w:rFonts w:ascii="宋体" w:eastAsia="宋体" w:hAnsi="宋体" w:cs="宋体"/>
                <w:kern w:val="0"/>
                <w:sz w:val="24"/>
                <w:szCs w:val="24"/>
              </w:rPr>
            </w:pPr>
            <w:r w:rsidRPr="00D36878">
              <w:rPr>
                <w:rFonts w:ascii="宋体" w:eastAsia="宋体" w:hAnsi="宋体" w:cs="宋体" w:hint="eastAsia"/>
                <w:kern w:val="0"/>
                <w:sz w:val="20"/>
                <w:szCs w:val="20"/>
              </w:rPr>
              <w:t>其中：向其直接管理的建筑项目部所在地预分的所得税</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4</w:t>
            </w:r>
          </w:p>
        </w:tc>
        <w:tc>
          <w:tcPr>
            <w:tcW w:w="1553" w:type="dxa"/>
            <w:tcBorders>
              <w:top w:val="nil"/>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本年度应分摊的应补（退）的所得税（2-3）</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5</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1276" w:type="dxa"/>
            <w:vMerge w:val="restart"/>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分支机构企业所得税年度纳税申报相关信息</w:t>
            </w: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分配比例（%）</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6</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分摊本年应补（退）的所得税额（5×50%×6）</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7</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本年累计已分摊的所得税额</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8</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84"/>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84"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本年累计已就地预缴所得税额</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84"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9</w:t>
            </w:r>
          </w:p>
        </w:tc>
        <w:tc>
          <w:tcPr>
            <w:tcW w:w="1553" w:type="dxa"/>
            <w:tcBorders>
              <w:top w:val="nil"/>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84"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 xml:space="preserve">　</w:t>
            </w:r>
          </w:p>
        </w:tc>
      </w:tr>
      <w:tr w:rsidR="00D36878" w:rsidRPr="00D36878" w:rsidTr="00D36878">
        <w:trPr>
          <w:trHeight w:val="88"/>
          <w:jc w:val="center"/>
        </w:trPr>
        <w:tc>
          <w:tcPr>
            <w:tcW w:w="0" w:type="auto"/>
            <w:vMerge/>
            <w:tcBorders>
              <w:top w:val="nil"/>
              <w:left w:val="single" w:sz="12" w:space="0" w:color="auto"/>
              <w:bottom w:val="single" w:sz="4"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88"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本年应补（退）的所得税额（7+8-9）</w:t>
            </w:r>
          </w:p>
        </w:tc>
        <w:tc>
          <w:tcPr>
            <w:tcW w:w="720" w:type="dxa"/>
            <w:tcBorders>
              <w:top w:val="nil"/>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88"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10</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88"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106"/>
          <w:jc w:val="center"/>
        </w:trPr>
        <w:tc>
          <w:tcPr>
            <w:tcW w:w="1276"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rsidR="00D36878" w:rsidRPr="00D36878" w:rsidRDefault="00D36878" w:rsidP="00D36878">
            <w:pPr>
              <w:widowControl/>
              <w:spacing w:line="45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分支机构</w:t>
            </w:r>
          </w:p>
          <w:p w:rsidR="00D36878" w:rsidRPr="00D36878" w:rsidRDefault="00D36878" w:rsidP="00D36878">
            <w:pPr>
              <w:widowControl/>
              <w:spacing w:line="106"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本年三因素指标</w:t>
            </w:r>
          </w:p>
        </w:tc>
        <w:tc>
          <w:tcPr>
            <w:tcW w:w="529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106"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营业收入</w:t>
            </w:r>
          </w:p>
        </w:tc>
        <w:tc>
          <w:tcPr>
            <w:tcW w:w="720" w:type="dxa"/>
            <w:tcBorders>
              <w:top w:val="single" w:sz="4" w:space="0" w:color="auto"/>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106"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11</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106"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single" w:sz="4" w:space="0" w:color="auto"/>
              <w:left w:val="single" w:sz="12" w:space="0" w:color="auto"/>
              <w:bottom w:val="single" w:sz="12"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职工薪酬</w:t>
            </w:r>
          </w:p>
        </w:tc>
        <w:tc>
          <w:tcPr>
            <w:tcW w:w="720" w:type="dxa"/>
            <w:tcBorders>
              <w:top w:val="single" w:sz="4" w:space="0" w:color="auto"/>
              <w:left w:val="nil"/>
              <w:bottom w:val="single" w:sz="4"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12</w:t>
            </w:r>
          </w:p>
        </w:tc>
        <w:tc>
          <w:tcPr>
            <w:tcW w:w="1553" w:type="dxa"/>
            <w:tcBorders>
              <w:top w:val="single" w:sz="4" w:space="0" w:color="auto"/>
              <w:left w:val="nil"/>
              <w:bottom w:val="single" w:sz="4"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r w:rsidR="00D36878" w:rsidRPr="00D36878" w:rsidTr="00D36878">
        <w:trPr>
          <w:trHeight w:val="70"/>
          <w:jc w:val="center"/>
        </w:trPr>
        <w:tc>
          <w:tcPr>
            <w:tcW w:w="0" w:type="auto"/>
            <w:vMerge/>
            <w:tcBorders>
              <w:top w:val="single" w:sz="4" w:space="0" w:color="auto"/>
              <w:left w:val="single" w:sz="12" w:space="0" w:color="auto"/>
              <w:bottom w:val="single" w:sz="12" w:space="0" w:color="auto"/>
              <w:right w:val="single" w:sz="4" w:space="0" w:color="auto"/>
            </w:tcBorders>
            <w:shd w:val="clear" w:color="auto" w:fill="FFFFFF"/>
            <w:vAlign w:val="center"/>
            <w:hideMark/>
          </w:tcPr>
          <w:p w:rsidR="00D36878" w:rsidRPr="00D36878" w:rsidRDefault="00D36878" w:rsidP="00D36878">
            <w:pPr>
              <w:widowControl/>
              <w:jc w:val="left"/>
              <w:rPr>
                <w:rFonts w:ascii="宋体" w:eastAsia="宋体" w:hAnsi="宋体" w:cs="宋体"/>
                <w:kern w:val="0"/>
                <w:sz w:val="24"/>
                <w:szCs w:val="24"/>
              </w:rPr>
            </w:pPr>
          </w:p>
        </w:tc>
        <w:tc>
          <w:tcPr>
            <w:tcW w:w="5291" w:type="dxa"/>
            <w:gridSpan w:val="2"/>
            <w:tcBorders>
              <w:top w:val="single" w:sz="4" w:space="0" w:color="auto"/>
              <w:left w:val="nil"/>
              <w:bottom w:val="single" w:sz="12"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left"/>
              <w:rPr>
                <w:rFonts w:ascii="宋体" w:eastAsia="宋体" w:hAnsi="宋体" w:cs="宋体"/>
                <w:kern w:val="0"/>
                <w:sz w:val="24"/>
                <w:szCs w:val="24"/>
              </w:rPr>
            </w:pPr>
            <w:r w:rsidRPr="00D36878">
              <w:rPr>
                <w:rFonts w:ascii="宋体" w:eastAsia="宋体" w:hAnsi="宋体" w:cs="宋体" w:hint="eastAsia"/>
                <w:kern w:val="0"/>
                <w:sz w:val="20"/>
                <w:szCs w:val="20"/>
              </w:rPr>
              <w:t>资产总额</w:t>
            </w:r>
          </w:p>
        </w:tc>
        <w:tc>
          <w:tcPr>
            <w:tcW w:w="720" w:type="dxa"/>
            <w:tcBorders>
              <w:top w:val="single" w:sz="4" w:space="0" w:color="auto"/>
              <w:left w:val="nil"/>
              <w:bottom w:val="single" w:sz="12" w:space="0" w:color="auto"/>
              <w:right w:val="single" w:sz="4" w:space="0" w:color="auto"/>
            </w:tcBorders>
            <w:shd w:val="clear" w:color="auto" w:fill="FFFFFF"/>
            <w:noWrap/>
            <w:vAlign w:val="center"/>
            <w:hideMark/>
          </w:tcPr>
          <w:p w:rsidR="00D36878" w:rsidRPr="00D36878" w:rsidRDefault="00D36878" w:rsidP="00D36878">
            <w:pPr>
              <w:widowControl/>
              <w:spacing w:line="70" w:lineRule="atLeast"/>
              <w:jc w:val="center"/>
              <w:rPr>
                <w:rFonts w:ascii="宋体" w:eastAsia="宋体" w:hAnsi="宋体" w:cs="宋体"/>
                <w:kern w:val="0"/>
                <w:sz w:val="24"/>
                <w:szCs w:val="24"/>
              </w:rPr>
            </w:pPr>
            <w:r w:rsidRPr="00D36878">
              <w:rPr>
                <w:rFonts w:ascii="宋体" w:eastAsia="宋体" w:hAnsi="宋体" w:cs="宋体" w:hint="eastAsia"/>
                <w:kern w:val="0"/>
                <w:sz w:val="20"/>
                <w:szCs w:val="20"/>
              </w:rPr>
              <w:t>13</w:t>
            </w:r>
          </w:p>
        </w:tc>
        <w:tc>
          <w:tcPr>
            <w:tcW w:w="1553" w:type="dxa"/>
            <w:tcBorders>
              <w:top w:val="single" w:sz="4" w:space="0" w:color="auto"/>
              <w:left w:val="nil"/>
              <w:bottom w:val="single" w:sz="12" w:space="0" w:color="auto"/>
              <w:right w:val="single" w:sz="12" w:space="0" w:color="auto"/>
            </w:tcBorders>
            <w:shd w:val="clear" w:color="auto" w:fill="FFFFFF"/>
            <w:noWrap/>
            <w:vAlign w:val="center"/>
            <w:hideMark/>
          </w:tcPr>
          <w:p w:rsidR="00D36878" w:rsidRPr="00D36878" w:rsidRDefault="00D36878" w:rsidP="00D36878">
            <w:pPr>
              <w:widowControl/>
              <w:spacing w:line="70" w:lineRule="atLeast"/>
              <w:jc w:val="right"/>
              <w:rPr>
                <w:rFonts w:ascii="宋体" w:eastAsia="宋体" w:hAnsi="宋体" w:cs="宋体"/>
                <w:kern w:val="0"/>
                <w:sz w:val="24"/>
                <w:szCs w:val="24"/>
              </w:rPr>
            </w:pPr>
            <w:r w:rsidRPr="00D36878">
              <w:rPr>
                <w:rFonts w:ascii="宋体" w:eastAsia="宋体" w:hAnsi="宋体" w:cs="宋体" w:hint="eastAsia"/>
                <w:kern w:val="0"/>
                <w:sz w:val="20"/>
                <w:szCs w:val="20"/>
              </w:rPr>
              <w:t> </w:t>
            </w:r>
          </w:p>
        </w:tc>
      </w:tr>
    </w:tbl>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w:t>
      </w:r>
    </w:p>
    <w:p w:rsidR="00D36878" w:rsidRPr="00D36878" w:rsidRDefault="00D36878" w:rsidP="00D36878">
      <w:pPr>
        <w:widowControl/>
        <w:shd w:val="clear" w:color="auto" w:fill="FFFFFF"/>
        <w:spacing w:line="450" w:lineRule="atLeast"/>
        <w:jc w:val="center"/>
        <w:rPr>
          <w:rFonts w:ascii="宋体" w:eastAsia="宋体" w:hAnsi="宋体" w:cs="宋体"/>
          <w:kern w:val="0"/>
          <w:szCs w:val="21"/>
        </w:rPr>
      </w:pPr>
      <w:r w:rsidRPr="00D36878">
        <w:rPr>
          <w:rFonts w:ascii="宋体" w:eastAsia="宋体" w:hAnsi="宋体" w:cs="宋体"/>
          <w:b/>
          <w:bCs/>
          <w:kern w:val="0"/>
        </w:rPr>
        <w:t> 《外省市总机构在沪二级分支机构企业所得税年度纳税申报表》填报说明</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一、适用范围及报送要求</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1.本表适用于外省市总机构在沪经营的分支机构填报。</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2.外省市总机构在沪设立的分支机构应当在年度终了之日起五个月内，填报本表后到主管税务机关办理企业所得税年度汇算清缴，结清当年度应缴应退税款。本表一式两份，一份报主管税务机关，一份企业留存。</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二、有关项目填报说明</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本表是反映外省市总机构所属年度应补（退）所得税额以及在沪分支机构在所属年度分摊应补（退）所得税额情况。</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lastRenderedPageBreak/>
        <w:t xml:space="preserve">　　1.第1行“实际应纳所得税额”：按照总机构《企业所得税年度纳税申报表（A类，2014年版）》的表A109000《跨地区经营汇总纳税企业年度分摊企业所得税明细表》第1行“总机构实际应纳所得税额”填报。</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2.第2行“用于分摊的本年实际应纳所得税额”：按照总机构《企业所得税年度纳税申报表（A类，2014版）》的表A109000《跨地区经营汇总纳税企业年度分摊企业所得税明细表》第4行“总机构用于分摊的本年实际应纳所得税”填报。</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3.第3行“本年累计已预分、已分摊所得税”：按照总机构《企业所得税年度纳税申报表（A类，2014版）》的表A109000《跨地区经营汇总纳税企业年度分摊企业所得税明细表》第5行“总机构本年累计已预分、已分摊所得税”填报。</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4.第4行“其中：向其直接管理的建筑项目部所在地预分的所得税”：按照总机构《企业所得税年度纳税申报表（A类，2014版）》的表A109000《跨地区经营汇总纳税企业年度分摊企业所得税明细表》第6行“总机构向其直接管理的建筑项目部所在地预分的所得税”填报。</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5.第5行“总机构本年度应分摊的应补（退）的所得税”：应等于总机构《企业所得税年度纳税申报表（A类，2014版）》的表A109000《跨地区经营汇总纳税企业年度分摊企业所得税明细表》第11行“总机构本年度应分摊的应补（退）的所得税”。</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6.第6行“分配比例（%）”：填报经总机构所在地主管税务机关审核确认的各分支机构分配比例。分配比例应保留小数点后四位。</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7.第8行“本年累计已分摊的所得税额”：填报总机构在本年预缴申报时按照规定比例计算缴纳的由所属分支机构分摊的所得税额。</w:t>
      </w:r>
    </w:p>
    <w:p w:rsidR="00D36878" w:rsidRPr="00D36878" w:rsidRDefault="00D36878" w:rsidP="00D36878">
      <w:pPr>
        <w:widowControl/>
        <w:shd w:val="clear" w:color="auto" w:fill="FFFFFF"/>
        <w:spacing w:line="450" w:lineRule="atLeast"/>
        <w:jc w:val="left"/>
        <w:rPr>
          <w:rFonts w:ascii="宋体" w:eastAsia="宋体" w:hAnsi="宋体" w:cs="宋体"/>
          <w:kern w:val="0"/>
          <w:szCs w:val="21"/>
        </w:rPr>
      </w:pPr>
      <w:r w:rsidRPr="00D36878">
        <w:rPr>
          <w:rFonts w:ascii="宋体" w:eastAsia="宋体" w:hAnsi="宋体" w:cs="宋体"/>
          <w:kern w:val="0"/>
          <w:szCs w:val="21"/>
        </w:rPr>
        <w:t xml:space="preserve">　　8.第9行“本年累计已就地预缴所得税额”：填报分支机构本年累计已预缴的所得税额。</w:t>
      </w:r>
    </w:p>
    <w:p w:rsidR="00BB197E" w:rsidRPr="00D36878" w:rsidRDefault="00BB197E"/>
    <w:sectPr w:rsidR="00BB197E" w:rsidRPr="00D36878" w:rsidSect="00BB19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878"/>
    <w:rsid w:val="00BB197E"/>
    <w:rsid w:val="00D36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878"/>
    <w:rPr>
      <w:b/>
      <w:bCs/>
    </w:rPr>
  </w:style>
</w:styles>
</file>

<file path=word/webSettings.xml><?xml version="1.0" encoding="utf-8"?>
<w:webSettings xmlns:r="http://schemas.openxmlformats.org/officeDocument/2006/relationships" xmlns:w="http://schemas.openxmlformats.org/wordprocessingml/2006/main">
  <w:divs>
    <w:div w:id="802428182">
      <w:bodyDiv w:val="1"/>
      <w:marLeft w:val="0"/>
      <w:marRight w:val="0"/>
      <w:marTop w:val="0"/>
      <w:marBottom w:val="0"/>
      <w:divBdr>
        <w:top w:val="none" w:sz="0" w:space="0" w:color="auto"/>
        <w:left w:val="none" w:sz="0" w:space="0" w:color="auto"/>
        <w:bottom w:val="none" w:sz="0" w:space="0" w:color="auto"/>
        <w:right w:val="none" w:sz="0" w:space="0" w:color="auto"/>
      </w:divBdr>
      <w:divsChild>
        <w:div w:id="95366679">
          <w:marLeft w:val="0"/>
          <w:marRight w:val="0"/>
          <w:marTop w:val="0"/>
          <w:marBottom w:val="0"/>
          <w:divBdr>
            <w:top w:val="none" w:sz="0" w:space="0" w:color="auto"/>
            <w:left w:val="none" w:sz="0" w:space="0" w:color="auto"/>
            <w:bottom w:val="none" w:sz="0" w:space="0" w:color="auto"/>
            <w:right w:val="none" w:sz="0" w:space="0" w:color="auto"/>
          </w:divBdr>
          <w:divsChild>
            <w:div w:id="1859854402">
              <w:marLeft w:val="0"/>
              <w:marRight w:val="0"/>
              <w:marTop w:val="0"/>
              <w:marBottom w:val="0"/>
              <w:divBdr>
                <w:top w:val="none" w:sz="0" w:space="0" w:color="auto"/>
                <w:left w:val="none" w:sz="0" w:space="0" w:color="auto"/>
                <w:bottom w:val="none" w:sz="0" w:space="0" w:color="auto"/>
                <w:right w:val="none" w:sz="0" w:space="0" w:color="auto"/>
              </w:divBdr>
              <w:divsChild>
                <w:div w:id="1430927020">
                  <w:marLeft w:val="0"/>
                  <w:marRight w:val="0"/>
                  <w:marTop w:val="0"/>
                  <w:marBottom w:val="0"/>
                  <w:divBdr>
                    <w:top w:val="none" w:sz="0" w:space="0" w:color="auto"/>
                    <w:left w:val="none" w:sz="0" w:space="0" w:color="auto"/>
                    <w:bottom w:val="none" w:sz="0" w:space="0" w:color="auto"/>
                    <w:right w:val="none" w:sz="0" w:space="0" w:color="auto"/>
                  </w:divBdr>
                  <w:divsChild>
                    <w:div w:id="1448620321">
                      <w:marLeft w:val="0"/>
                      <w:marRight w:val="0"/>
                      <w:marTop w:val="0"/>
                      <w:marBottom w:val="0"/>
                      <w:divBdr>
                        <w:top w:val="none" w:sz="0" w:space="0" w:color="auto"/>
                        <w:left w:val="none" w:sz="0" w:space="0" w:color="auto"/>
                        <w:bottom w:val="none" w:sz="0" w:space="0" w:color="auto"/>
                        <w:right w:val="none" w:sz="0" w:space="0" w:color="auto"/>
                      </w:divBdr>
                      <w:divsChild>
                        <w:div w:id="2129541733">
                          <w:marLeft w:val="0"/>
                          <w:marRight w:val="0"/>
                          <w:marTop w:val="375"/>
                          <w:marBottom w:val="0"/>
                          <w:divBdr>
                            <w:top w:val="none" w:sz="0" w:space="0" w:color="auto"/>
                            <w:left w:val="none" w:sz="0" w:space="0" w:color="auto"/>
                            <w:bottom w:val="none" w:sz="0" w:space="0" w:color="auto"/>
                            <w:right w:val="none" w:sz="0" w:space="0" w:color="auto"/>
                          </w:divBdr>
                          <w:divsChild>
                            <w:div w:id="403988737">
                              <w:marLeft w:val="0"/>
                              <w:marRight w:val="0"/>
                              <w:marTop w:val="0"/>
                              <w:marBottom w:val="0"/>
                              <w:divBdr>
                                <w:top w:val="none" w:sz="0" w:space="0" w:color="auto"/>
                                <w:left w:val="none" w:sz="0" w:space="0" w:color="auto"/>
                                <w:bottom w:val="none" w:sz="0" w:space="0" w:color="auto"/>
                                <w:right w:val="none" w:sz="0" w:space="0" w:color="auto"/>
                              </w:divBdr>
                              <w:divsChild>
                                <w:div w:id="329673142">
                                  <w:marLeft w:val="0"/>
                                  <w:marRight w:val="0"/>
                                  <w:marTop w:val="0"/>
                                  <w:marBottom w:val="0"/>
                                  <w:divBdr>
                                    <w:top w:val="none" w:sz="0" w:space="0" w:color="auto"/>
                                    <w:left w:val="none" w:sz="0" w:space="0" w:color="auto"/>
                                    <w:bottom w:val="none" w:sz="0" w:space="0" w:color="auto"/>
                                    <w:right w:val="none" w:sz="0" w:space="0" w:color="auto"/>
                                  </w:divBdr>
                                  <w:divsChild>
                                    <w:div w:id="5357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2016-02-29T01:41:00Z</dcterms:created>
  <dcterms:modified xsi:type="dcterms:W3CDTF">2016-02-29T01:41:00Z</dcterms:modified>
</cp:coreProperties>
</file>