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20" w:lineRule="exact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附件2：</w:t>
      </w:r>
    </w:p>
    <w:p>
      <w:pPr>
        <w:shd w:val="solid" w:color="FFFFFF" w:fill="auto"/>
        <w:autoSpaceDN w:val="0"/>
        <w:snapToGrid w:val="0"/>
        <w:spacing w:after="0" w:line="200" w:lineRule="exact"/>
        <w:jc w:val="center"/>
        <w:rPr>
          <w:rFonts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after="0" w:line="540" w:lineRule="exact"/>
        <w:jc w:val="center"/>
        <w:rPr>
          <w:rFonts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  <w:t>2019年度杨浦区“专精特新”中小企业名单</w:t>
      </w:r>
    </w:p>
    <w:bookmarkEnd w:id="0"/>
    <w:p>
      <w:pPr>
        <w:shd w:val="solid" w:color="FFFFFF" w:fill="auto"/>
        <w:autoSpaceDN w:val="0"/>
        <w:snapToGrid w:val="0"/>
        <w:spacing w:after="0" w:line="300" w:lineRule="exact"/>
        <w:jc w:val="center"/>
        <w:rPr>
          <w:rFonts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</w:pPr>
    </w:p>
    <w:tbl>
      <w:tblPr>
        <w:tblStyle w:val="2"/>
        <w:tblW w:w="92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4156"/>
        <w:gridCol w:w="584"/>
        <w:gridCol w:w="39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5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5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1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上海悉德信息科技有限公司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视若飞信息科技（上海）有限公司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上海爱投金融信息服务有限公司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上海优必杰教育科技有限公司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上海艾维仕环境科技发展有限公司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联润（上海）信息科技有限责任公司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上海恺域信息科技有限公司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上海脉策数据科技有限公司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上海万申信息产业股份有限公司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森兰信息科技（上海）有限公司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复凌科技（上海）有限公司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上海智能交通有限公司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上海数设科技有限公司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上海纽盾科技股份有限公司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上海畅圣计算机科技有限公司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北极星云空间技术股份有限公司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上海春雨自动化设备防护技术有限公司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上海教育软件发展有限公司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上海同悦节能科技有限公司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上海数喆数据科技有限公司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上海星红安数据科技有限公司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上海云瀚科技股份有限公司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上海长凯岩土工程有限公司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上海普欣生物技术有限公司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上海合志信息技术有限公司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上海儒竞电控技术有限公司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上海聚建网络科技有限公司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上海浩正电气有限公司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上海联泉智能科技有限公司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上海莘越软件科技有限公司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上海跃动文化传播有限公司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上海天健体育科技发展有限公司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玖青新材料科技（上海）有限公司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上海毅帆环保科技有限公司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上海视野价值管理软件有限公司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上海群济电子科技有限公司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闯奇信息科技（上海）有限公司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亿可能源科技（上海）有限公司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上海济可佳精密技术有限公司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上海奥思特康复辅具有限公司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4156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上海欧萨评价咨询股份有限公司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3914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上海积锐智能科技有限公司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4156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智能云科信息科技有限公司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3914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上海浦昊节能环保科技有限公司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上海含山瓷业有限公司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上海铸乾信息科技有限公司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上海地东建筑设计事务所有限公司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上海达琪智能科技有限公司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上海微谱信息技术有限公司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上海天辰现代环境技术有限公司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振利软件科技（上海）有限公司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上海平正云科技有限公司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上海小邻通实业有限公司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上海语识信息技术有限公司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上海济子医药科技有限公司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经数（上海）信息科技有限公司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上海济通信息技术有限公司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邦鼓思电子科技（上海）有限公司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上海同屹会展服务有限公司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上海舜源计算机科技有限公司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上海龙诚自动化系统有限公司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跃橙企业服务外包（上海）有限公司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上海智勇教育培训有限公司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上海枢源节能科技有限公司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上海理仁博振工业技术有限公司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上海硕苗信息科技有限公司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上海众应信息科技有限公司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上海镱可思多媒体科技有限公司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上海繁易信息科技股份有限公司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上海态特网络科技有限公司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上海胧爱文化传播有限公司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上海雅科生物科技有限公司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上海复尧计算机科技有限公司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上海旭立信息技术有限公司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上海孚荣新能源科技有限公司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沁济（上海）环境科技有限公司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上海驰亚信息技术有限公司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上海犀语科技有限公司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上海三利数字技术有限公司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上海墨游信息科技有限公司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上海联达节能科技股份有限公司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上海爱乐孩子王实业有限公司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上海万狮环保科技有限公司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上海沐月信息技术发展有限公司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上海云兜网络科技有限公司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世碧德环境科技（上海）有限公司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上海锐明轨交设备有限公司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上海异构网络科技有限公司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15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上海济辰水数字科技有限公司</w:t>
            </w:r>
          </w:p>
        </w:tc>
        <w:tc>
          <w:tcPr>
            <w:tcW w:w="58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39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上海申耀环保工程有限公司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9433D"/>
    <w:rsid w:val="128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2021-08-02T09:49:00Z</dcterms:created>
  <dc:creator>范小婷</dc:creator>
  <cp:lastModifiedBy>范小婷</cp:lastModifiedBy>
  <dcterms:modified xsi:type="dcterms:W3CDTF">2021-08-02T09:50:32Z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1C16ECA9CA624CB6B27D0558EA20D401</vt:lpwstr>
  </property>
</Properties>
</file>